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C449" w14:textId="77777777" w:rsidR="001E21BB" w:rsidRDefault="001E21BB" w:rsidP="00A71171">
      <w:pPr>
        <w:shd w:val="clear" w:color="auto" w:fill="FF0000"/>
      </w:pPr>
    </w:p>
    <w:p w14:paraId="3DA00687" w14:textId="77777777" w:rsidR="00A71171" w:rsidRDefault="00A71171" w:rsidP="00A71171">
      <w:pPr>
        <w:shd w:val="clear" w:color="auto" w:fill="FF0000"/>
      </w:pPr>
    </w:p>
    <w:p w14:paraId="3F2732FF" w14:textId="77777777" w:rsidR="00A71171" w:rsidRDefault="00A71171" w:rsidP="00A71171">
      <w:pPr>
        <w:shd w:val="clear" w:color="auto" w:fill="FF0000"/>
      </w:pPr>
    </w:p>
    <w:p w14:paraId="5DDC4530" w14:textId="77777777" w:rsidR="00A71171" w:rsidRDefault="006A40F4" w:rsidP="00A71171">
      <w:pPr>
        <w:shd w:val="clear" w:color="auto" w:fill="FF0000"/>
        <w:jc w:val="center"/>
      </w:pPr>
      <w:r>
        <w:rPr>
          <w:noProof/>
        </w:rPr>
        <mc:AlternateContent>
          <mc:Choice Requires="wpc">
            <w:drawing>
              <wp:inline distT="0" distB="0" distL="0" distR="0" wp14:anchorId="38B21D76" wp14:editId="24210C77">
                <wp:extent cx="5829300" cy="1371600"/>
                <wp:effectExtent l="0" t="9525"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084790" y="0"/>
                            <a:ext cx="3656418" cy="1142863"/>
                          </a:xfrm>
                          <a:prstGeom prst="rect">
                            <a:avLst/>
                          </a:prstGeom>
                          <a:solidFill>
                            <a:srgbClr val="FFFFFF"/>
                          </a:solidFill>
                          <a:ln w="9525">
                            <a:solidFill>
                              <a:srgbClr val="000000"/>
                            </a:solidFill>
                            <a:miter lim="800000"/>
                            <a:headEnd/>
                            <a:tailEnd/>
                          </a:ln>
                        </wps:spPr>
                        <wps:txbx>
                          <w:txbxContent>
                            <w:p w14:paraId="67CC2887" w14:textId="77777777" w:rsidR="00A71171" w:rsidRPr="00A44BEC" w:rsidRDefault="00A71171" w:rsidP="00A71171">
                              <w:pPr>
                                <w:jc w:val="center"/>
                                <w:rPr>
                                  <w:b/>
                                  <w:sz w:val="40"/>
                                  <w:szCs w:val="40"/>
                                </w:rPr>
                              </w:pPr>
                              <w:r w:rsidRPr="00A44BEC">
                                <w:rPr>
                                  <w:b/>
                                  <w:sz w:val="48"/>
                                  <w:szCs w:val="48"/>
                                </w:rPr>
                                <w:t>M</w:t>
                              </w:r>
                              <w:r w:rsidRPr="00A44BEC">
                                <w:rPr>
                                  <w:b/>
                                  <w:sz w:val="40"/>
                                  <w:szCs w:val="40"/>
                                </w:rPr>
                                <w:t xml:space="preserve">EDICAL </w:t>
                              </w:r>
                              <w:r w:rsidRPr="00A44BEC">
                                <w:rPr>
                                  <w:b/>
                                  <w:sz w:val="48"/>
                                  <w:szCs w:val="48"/>
                                </w:rPr>
                                <w:t>S</w:t>
                              </w:r>
                              <w:r w:rsidRPr="00A44BEC">
                                <w:rPr>
                                  <w:b/>
                                  <w:sz w:val="40"/>
                                  <w:szCs w:val="40"/>
                                </w:rPr>
                                <w:t xml:space="preserve">OCIETY </w:t>
                              </w:r>
                            </w:p>
                            <w:p w14:paraId="1E3BA02E" w14:textId="77777777" w:rsidR="00A71171" w:rsidRPr="00A44BEC" w:rsidRDefault="00A71171" w:rsidP="00A71171">
                              <w:pPr>
                                <w:jc w:val="center"/>
                                <w:rPr>
                                  <w:b/>
                                </w:rPr>
                              </w:pPr>
                              <w:r w:rsidRPr="00A44BEC">
                                <w:rPr>
                                  <w:b/>
                                </w:rPr>
                                <w:t xml:space="preserve">of the </w:t>
                              </w:r>
                            </w:p>
                            <w:p w14:paraId="707CD615" w14:textId="77777777" w:rsidR="00A71171" w:rsidRPr="002B185D" w:rsidRDefault="00A71171" w:rsidP="00A71171">
                              <w:pPr>
                                <w:jc w:val="center"/>
                                <w:rPr>
                                  <w:b/>
                                  <w:sz w:val="48"/>
                                  <w:szCs w:val="48"/>
                                </w:rPr>
                              </w:pPr>
                              <w:r w:rsidRPr="00A44BEC">
                                <w:rPr>
                                  <w:b/>
                                  <w:sz w:val="48"/>
                                  <w:szCs w:val="48"/>
                                </w:rPr>
                                <w:t>S</w:t>
                              </w:r>
                              <w:r w:rsidRPr="00A44BEC">
                                <w:rPr>
                                  <w:b/>
                                  <w:sz w:val="40"/>
                                  <w:szCs w:val="40"/>
                                </w:rPr>
                                <w:t xml:space="preserve">TATE OF </w:t>
                              </w:r>
                              <w:r w:rsidRPr="00A44BEC">
                                <w:rPr>
                                  <w:b/>
                                  <w:sz w:val="48"/>
                                  <w:szCs w:val="48"/>
                                </w:rPr>
                                <w:t>N</w:t>
                              </w:r>
                              <w:r w:rsidRPr="00A44BEC">
                                <w:rPr>
                                  <w:b/>
                                  <w:sz w:val="40"/>
                                  <w:szCs w:val="40"/>
                                </w:rPr>
                                <w:t xml:space="preserve">EW </w:t>
                              </w:r>
                              <w:r w:rsidRPr="00A44BEC">
                                <w:rPr>
                                  <w:b/>
                                  <w:sz w:val="48"/>
                                  <w:szCs w:val="48"/>
                                </w:rPr>
                                <w:t>Y</w:t>
                              </w:r>
                              <w:r w:rsidRPr="00A44BEC">
                                <w:rPr>
                                  <w:b/>
                                  <w:sz w:val="40"/>
                                  <w:szCs w:val="40"/>
                                </w:rPr>
                                <w:t>ORK</w:t>
                              </w:r>
                            </w:p>
                            <w:p w14:paraId="002DC783" w14:textId="77777777" w:rsidR="00A71171" w:rsidRDefault="00A71171" w:rsidP="00A71171">
                              <w:pPr>
                                <w:jc w:val="center"/>
                              </w:pPr>
                            </w:p>
                          </w:txbxContent>
                        </wps:txbx>
                        <wps:bodyPr rot="0" vert="horz" wrap="square" lIns="91440" tIns="45720" rIns="91440" bIns="45720" anchor="t" anchorCtr="0" upright="1">
                          <a:noAutofit/>
                        </wps:bodyPr>
                      </wps:wsp>
                    </wpc:wpc>
                  </a:graphicData>
                </a:graphic>
              </wp:inline>
            </w:drawing>
          </mc:Choice>
          <mc:Fallback>
            <w:pict>
              <v:group w14:anchorId="38B21D76" id="Canvas 3" o:spid="_x0000_s1026" editas="canvas" style="width:459pt;height:108pt;mso-position-horizontal-relative:char;mso-position-vertical-relative:line" coordsize="582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371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0847;width:36565;height:1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7CC2887" w14:textId="77777777" w:rsidR="00A71171" w:rsidRPr="00A44BEC" w:rsidRDefault="00A71171" w:rsidP="00A71171">
                        <w:pPr>
                          <w:jc w:val="center"/>
                          <w:rPr>
                            <w:b/>
                            <w:sz w:val="40"/>
                            <w:szCs w:val="40"/>
                          </w:rPr>
                        </w:pPr>
                        <w:r w:rsidRPr="00A44BEC">
                          <w:rPr>
                            <w:b/>
                            <w:sz w:val="48"/>
                            <w:szCs w:val="48"/>
                          </w:rPr>
                          <w:t>M</w:t>
                        </w:r>
                        <w:r w:rsidRPr="00A44BEC">
                          <w:rPr>
                            <w:b/>
                            <w:sz w:val="40"/>
                            <w:szCs w:val="40"/>
                          </w:rPr>
                          <w:t xml:space="preserve">EDICAL </w:t>
                        </w:r>
                        <w:r w:rsidRPr="00A44BEC">
                          <w:rPr>
                            <w:b/>
                            <w:sz w:val="48"/>
                            <w:szCs w:val="48"/>
                          </w:rPr>
                          <w:t>S</w:t>
                        </w:r>
                        <w:r w:rsidRPr="00A44BEC">
                          <w:rPr>
                            <w:b/>
                            <w:sz w:val="40"/>
                            <w:szCs w:val="40"/>
                          </w:rPr>
                          <w:t xml:space="preserve">OCIETY </w:t>
                        </w:r>
                      </w:p>
                      <w:p w14:paraId="1E3BA02E" w14:textId="77777777" w:rsidR="00A71171" w:rsidRPr="00A44BEC" w:rsidRDefault="00A71171" w:rsidP="00A71171">
                        <w:pPr>
                          <w:jc w:val="center"/>
                          <w:rPr>
                            <w:b/>
                          </w:rPr>
                        </w:pPr>
                        <w:r w:rsidRPr="00A44BEC">
                          <w:rPr>
                            <w:b/>
                          </w:rPr>
                          <w:t xml:space="preserve">of the </w:t>
                        </w:r>
                      </w:p>
                      <w:p w14:paraId="707CD615" w14:textId="77777777" w:rsidR="00A71171" w:rsidRPr="002B185D" w:rsidRDefault="00A71171" w:rsidP="00A71171">
                        <w:pPr>
                          <w:jc w:val="center"/>
                          <w:rPr>
                            <w:b/>
                            <w:sz w:val="48"/>
                            <w:szCs w:val="48"/>
                          </w:rPr>
                        </w:pPr>
                        <w:r w:rsidRPr="00A44BEC">
                          <w:rPr>
                            <w:b/>
                            <w:sz w:val="48"/>
                            <w:szCs w:val="48"/>
                          </w:rPr>
                          <w:t>S</w:t>
                        </w:r>
                        <w:r w:rsidRPr="00A44BEC">
                          <w:rPr>
                            <w:b/>
                            <w:sz w:val="40"/>
                            <w:szCs w:val="40"/>
                          </w:rPr>
                          <w:t xml:space="preserve">TATE OF </w:t>
                        </w:r>
                        <w:r w:rsidRPr="00A44BEC">
                          <w:rPr>
                            <w:b/>
                            <w:sz w:val="48"/>
                            <w:szCs w:val="48"/>
                          </w:rPr>
                          <w:t>N</w:t>
                        </w:r>
                        <w:r w:rsidRPr="00A44BEC">
                          <w:rPr>
                            <w:b/>
                            <w:sz w:val="40"/>
                            <w:szCs w:val="40"/>
                          </w:rPr>
                          <w:t xml:space="preserve">EW </w:t>
                        </w:r>
                        <w:r w:rsidRPr="00A44BEC">
                          <w:rPr>
                            <w:b/>
                            <w:sz w:val="48"/>
                            <w:szCs w:val="48"/>
                          </w:rPr>
                          <w:t>Y</w:t>
                        </w:r>
                        <w:r w:rsidRPr="00A44BEC">
                          <w:rPr>
                            <w:b/>
                            <w:sz w:val="40"/>
                            <w:szCs w:val="40"/>
                          </w:rPr>
                          <w:t>ORK</w:t>
                        </w:r>
                      </w:p>
                      <w:p w14:paraId="002DC783" w14:textId="77777777" w:rsidR="00A71171" w:rsidRDefault="00A71171" w:rsidP="00A71171">
                        <w:pPr>
                          <w:jc w:val="center"/>
                        </w:pPr>
                      </w:p>
                    </w:txbxContent>
                  </v:textbox>
                </v:shape>
                <w10:anchorlock/>
              </v:group>
            </w:pict>
          </mc:Fallback>
        </mc:AlternateContent>
      </w:r>
    </w:p>
    <w:p w14:paraId="6657397F" w14:textId="77777777" w:rsidR="00B2239D" w:rsidRDefault="00B2239D" w:rsidP="00A71171">
      <w:pPr>
        <w:shd w:val="clear" w:color="auto" w:fill="FF0000"/>
        <w:jc w:val="center"/>
      </w:pPr>
    </w:p>
    <w:p w14:paraId="3B45AF07" w14:textId="77777777" w:rsidR="00A71171" w:rsidRDefault="00A71171"/>
    <w:p w14:paraId="7B587CFA" w14:textId="77777777" w:rsidR="00A71171" w:rsidRDefault="006A40F4">
      <w:pPr>
        <w:rPr>
          <w:sz w:val="22"/>
          <w:szCs w:val="22"/>
        </w:rPr>
      </w:pPr>
      <w:r>
        <w:rPr>
          <w:sz w:val="22"/>
          <w:szCs w:val="22"/>
        </w:rPr>
        <w:t>Morris Auster</w:t>
      </w:r>
      <w:r w:rsidR="00F17D22" w:rsidRPr="00F17D22">
        <w:rPr>
          <w:sz w:val="22"/>
          <w:szCs w:val="22"/>
        </w:rPr>
        <w:t>, Esq.</w:t>
      </w:r>
      <w:r w:rsidR="00F17D22">
        <w:rPr>
          <w:sz w:val="22"/>
          <w:szCs w:val="22"/>
        </w:rPr>
        <w:tab/>
      </w:r>
      <w:r w:rsidR="00F17D22">
        <w:rPr>
          <w:sz w:val="22"/>
          <w:szCs w:val="22"/>
        </w:rPr>
        <w:tab/>
      </w:r>
      <w:r w:rsidR="00F17D22">
        <w:rPr>
          <w:sz w:val="22"/>
          <w:szCs w:val="22"/>
        </w:rPr>
        <w:tab/>
      </w:r>
      <w:r w:rsidR="00C52367">
        <w:rPr>
          <w:sz w:val="22"/>
          <w:szCs w:val="22"/>
        </w:rPr>
        <w:tab/>
      </w:r>
      <w:r w:rsidR="00F17D22" w:rsidRPr="00F17D22">
        <w:rPr>
          <w:b/>
          <w:i/>
          <w:sz w:val="22"/>
          <w:szCs w:val="22"/>
        </w:rPr>
        <w:t>Division of Governmental Affairs</w:t>
      </w:r>
    </w:p>
    <w:p w14:paraId="0CBF7012" w14:textId="6B583971" w:rsidR="00F17D22" w:rsidRDefault="00F17D22">
      <w:pPr>
        <w:rPr>
          <w:b/>
          <w:color w:val="FF0000"/>
          <w:sz w:val="28"/>
          <w:szCs w:val="28"/>
        </w:rPr>
      </w:pPr>
      <w:r>
        <w:rPr>
          <w:sz w:val="16"/>
          <w:szCs w:val="16"/>
        </w:rPr>
        <w:t>Senior Vice President</w:t>
      </w:r>
      <w:r>
        <w:rPr>
          <w:sz w:val="22"/>
          <w:szCs w:val="22"/>
        </w:rPr>
        <w:tab/>
      </w:r>
      <w:r w:rsidR="00F15026">
        <w:rPr>
          <w:sz w:val="22"/>
          <w:szCs w:val="22"/>
        </w:rPr>
        <w:t>/</w:t>
      </w:r>
      <w:r>
        <w:rPr>
          <w:sz w:val="22"/>
          <w:szCs w:val="22"/>
        </w:rPr>
        <w:tab/>
      </w:r>
      <w:r>
        <w:rPr>
          <w:sz w:val="22"/>
          <w:szCs w:val="22"/>
        </w:rPr>
        <w:tab/>
      </w:r>
      <w:r w:rsidR="00C52367">
        <w:rPr>
          <w:sz w:val="22"/>
          <w:szCs w:val="22"/>
        </w:rPr>
        <w:tab/>
      </w:r>
      <w:r w:rsidR="00FC3EA1">
        <w:rPr>
          <w:sz w:val="22"/>
          <w:szCs w:val="22"/>
        </w:rPr>
        <w:tab/>
      </w:r>
      <w:r w:rsidRPr="00F17D22">
        <w:rPr>
          <w:b/>
          <w:color w:val="FF0000"/>
          <w:sz w:val="28"/>
          <w:szCs w:val="28"/>
        </w:rPr>
        <w:t>MEMORANDUM</w:t>
      </w:r>
      <w:r w:rsidR="00407C17">
        <w:rPr>
          <w:b/>
          <w:color w:val="FF0000"/>
          <w:sz w:val="28"/>
          <w:szCs w:val="28"/>
        </w:rPr>
        <w:t xml:space="preserve"> </w:t>
      </w:r>
      <w:r w:rsidRPr="00F17D22">
        <w:rPr>
          <w:b/>
          <w:color w:val="FF0000"/>
          <w:sz w:val="28"/>
          <w:szCs w:val="28"/>
        </w:rPr>
        <w:t>IN OPPOSITION</w:t>
      </w:r>
    </w:p>
    <w:p w14:paraId="273B0FB9" w14:textId="77777777" w:rsidR="00F15026" w:rsidRDefault="00F15026" w:rsidP="00F15026">
      <w:pPr>
        <w:rPr>
          <w:sz w:val="16"/>
          <w:szCs w:val="28"/>
        </w:rPr>
      </w:pPr>
      <w:r>
        <w:rPr>
          <w:sz w:val="16"/>
          <w:szCs w:val="28"/>
        </w:rPr>
        <w:t>Chief Legislative Counsel</w:t>
      </w:r>
    </w:p>
    <w:p w14:paraId="1FD6F3FE" w14:textId="77777777" w:rsidR="00F17D22" w:rsidRDefault="00B2239D">
      <w:pPr>
        <w:rPr>
          <w:sz w:val="16"/>
          <w:szCs w:val="28"/>
        </w:rPr>
      </w:pPr>
      <w:r>
        <w:rPr>
          <w:sz w:val="16"/>
          <w:szCs w:val="28"/>
        </w:rPr>
        <w:t xml:space="preserve"> </w:t>
      </w:r>
    </w:p>
    <w:p w14:paraId="739B22A6" w14:textId="0218BD4E" w:rsidR="00DD5D08" w:rsidRPr="00B2456B" w:rsidRDefault="00DD5D08" w:rsidP="00774E44">
      <w:pPr>
        <w:rPr>
          <w:rFonts w:ascii="Verdana" w:hAnsi="Verdana"/>
          <w:b/>
          <w:bCs/>
          <w:sz w:val="22"/>
          <w:szCs w:val="22"/>
        </w:rPr>
      </w:pPr>
      <w:r w:rsidRPr="00B2456B">
        <w:rPr>
          <w:rFonts w:ascii="Verdana" w:hAnsi="Verdana"/>
          <w:b/>
          <w:bCs/>
          <w:sz w:val="22"/>
          <w:szCs w:val="22"/>
        </w:rPr>
        <w:t xml:space="preserve">ON SENATE HIGHER EDUCATION </w:t>
      </w:r>
      <w:r w:rsidRPr="00B2456B">
        <w:rPr>
          <w:rFonts w:ascii="Verdana" w:hAnsi="Verdana"/>
          <w:b/>
          <w:bCs/>
          <w:sz w:val="22"/>
          <w:szCs w:val="22"/>
        </w:rPr>
        <w:tab/>
      </w:r>
      <w:r w:rsidRPr="00B2456B">
        <w:rPr>
          <w:rFonts w:ascii="Verdana" w:hAnsi="Verdana"/>
          <w:b/>
          <w:bCs/>
          <w:sz w:val="22"/>
          <w:szCs w:val="22"/>
        </w:rPr>
        <w:t>S.</w:t>
      </w:r>
      <w:r w:rsidRPr="00B2456B">
        <w:rPr>
          <w:rFonts w:ascii="Verdana" w:hAnsi="Verdana"/>
          <w:b/>
          <w:bCs/>
          <w:sz w:val="22"/>
          <w:szCs w:val="22"/>
        </w:rPr>
        <w:t>7872</w:t>
      </w:r>
      <w:r w:rsidRPr="00B2456B">
        <w:rPr>
          <w:rFonts w:ascii="Verdana" w:hAnsi="Verdana"/>
          <w:b/>
          <w:bCs/>
          <w:sz w:val="22"/>
          <w:szCs w:val="22"/>
        </w:rPr>
        <w:t xml:space="preserve"> (RIVERA) </w:t>
      </w:r>
      <w:r w:rsidRPr="00B2456B">
        <w:rPr>
          <w:rFonts w:ascii="Verdana" w:hAnsi="Verdana"/>
          <w:b/>
          <w:bCs/>
          <w:sz w:val="22"/>
          <w:szCs w:val="22"/>
        </w:rPr>
        <w:t xml:space="preserve"> </w:t>
      </w:r>
      <w:r w:rsidRPr="00B2456B">
        <w:rPr>
          <w:rFonts w:ascii="Verdana" w:hAnsi="Verdana"/>
          <w:b/>
          <w:bCs/>
          <w:sz w:val="22"/>
          <w:szCs w:val="22"/>
        </w:rPr>
        <w:t xml:space="preserve"> </w:t>
      </w:r>
    </w:p>
    <w:p w14:paraId="3E168C7F" w14:textId="41D6D8C9" w:rsidR="00DD5D08" w:rsidRPr="00B2456B" w:rsidRDefault="00DD5D08" w:rsidP="00774E44">
      <w:pPr>
        <w:rPr>
          <w:rFonts w:ascii="Verdana" w:hAnsi="Verdana"/>
          <w:b/>
          <w:bCs/>
          <w:sz w:val="22"/>
          <w:szCs w:val="22"/>
        </w:rPr>
      </w:pPr>
      <w:r w:rsidRPr="00B2456B">
        <w:rPr>
          <w:rFonts w:ascii="Verdana" w:hAnsi="Verdana"/>
          <w:b/>
          <w:bCs/>
          <w:sz w:val="22"/>
          <w:szCs w:val="22"/>
        </w:rPr>
        <w:t>COMMITTEE AGENDA</w:t>
      </w:r>
      <w:r w:rsidRPr="00B2456B">
        <w:rPr>
          <w:rFonts w:ascii="Verdana" w:hAnsi="Verdana"/>
          <w:b/>
          <w:bCs/>
          <w:sz w:val="22"/>
          <w:szCs w:val="22"/>
        </w:rPr>
        <w:tab/>
      </w:r>
      <w:r w:rsidRPr="00B2456B">
        <w:rPr>
          <w:rFonts w:ascii="Verdana" w:hAnsi="Verdana"/>
          <w:b/>
          <w:bCs/>
          <w:sz w:val="22"/>
          <w:szCs w:val="22"/>
        </w:rPr>
        <w:tab/>
      </w:r>
      <w:r w:rsidRPr="00B2456B">
        <w:rPr>
          <w:rFonts w:ascii="Verdana" w:hAnsi="Verdana"/>
          <w:b/>
          <w:bCs/>
          <w:sz w:val="22"/>
          <w:szCs w:val="22"/>
        </w:rPr>
        <w:tab/>
      </w:r>
    </w:p>
    <w:p w14:paraId="52205553" w14:textId="77777777" w:rsidR="00DD5D08" w:rsidRPr="00B2456B" w:rsidRDefault="00DD5D08" w:rsidP="00774E44">
      <w:pPr>
        <w:rPr>
          <w:rFonts w:ascii="Verdana" w:hAnsi="Verdana"/>
          <w:b/>
          <w:bCs/>
          <w:sz w:val="22"/>
          <w:szCs w:val="22"/>
        </w:rPr>
      </w:pPr>
    </w:p>
    <w:p w14:paraId="7BE8A696" w14:textId="679CAAC3" w:rsidR="00DD5D08" w:rsidRPr="00B2456B" w:rsidRDefault="00DD5D08" w:rsidP="00DD5D08">
      <w:pPr>
        <w:ind w:left="4320"/>
        <w:rPr>
          <w:rFonts w:ascii="Verdana" w:hAnsi="Verdana"/>
          <w:b/>
          <w:bCs/>
          <w:sz w:val="22"/>
          <w:szCs w:val="22"/>
        </w:rPr>
      </w:pPr>
      <w:r w:rsidRPr="00B2456B">
        <w:rPr>
          <w:rFonts w:ascii="Verdana" w:hAnsi="Verdana"/>
          <w:b/>
          <w:bCs/>
          <w:sz w:val="22"/>
          <w:szCs w:val="22"/>
        </w:rPr>
        <w:t>AN ACT to amend part C of chapter 57 of the laws of 2022</w:t>
      </w:r>
      <w:r w:rsidRPr="00B2456B">
        <w:rPr>
          <w:rFonts w:ascii="Verdana" w:hAnsi="Verdana"/>
          <w:b/>
          <w:bCs/>
          <w:sz w:val="22"/>
          <w:szCs w:val="22"/>
        </w:rPr>
        <w:t xml:space="preserve">, </w:t>
      </w:r>
      <w:r w:rsidRPr="00B2456B">
        <w:rPr>
          <w:rFonts w:ascii="Verdana" w:hAnsi="Verdana"/>
          <w:b/>
          <w:bCs/>
          <w:sz w:val="22"/>
          <w:szCs w:val="22"/>
        </w:rPr>
        <w:t xml:space="preserve">amending the education law relating to modernizing nurse practitioners, in relation to making certain provisions permanent. </w:t>
      </w:r>
    </w:p>
    <w:p w14:paraId="1F17A097" w14:textId="77777777" w:rsidR="00DD5D08" w:rsidRPr="00B2456B" w:rsidRDefault="00DD5D08" w:rsidP="00DD5D08">
      <w:pPr>
        <w:rPr>
          <w:rFonts w:ascii="Verdana" w:hAnsi="Verdana"/>
          <w:sz w:val="22"/>
          <w:szCs w:val="22"/>
        </w:rPr>
      </w:pPr>
    </w:p>
    <w:p w14:paraId="1C58D364" w14:textId="272D2A41" w:rsidR="00DD5D08" w:rsidRPr="00B2456B" w:rsidRDefault="00DD5D08" w:rsidP="00B2456B">
      <w:pPr>
        <w:rPr>
          <w:rFonts w:ascii="Verdana" w:hAnsi="Verdana"/>
          <w:b/>
          <w:bCs/>
          <w:sz w:val="22"/>
          <w:szCs w:val="22"/>
        </w:rPr>
      </w:pPr>
      <w:r w:rsidRPr="00B2456B">
        <w:rPr>
          <w:rFonts w:ascii="Verdana" w:hAnsi="Verdana"/>
          <w:sz w:val="22"/>
          <w:szCs w:val="22"/>
        </w:rPr>
        <w:t>We are writing to you regarding the above referenced legislation that would permanently eliminate any required physician collaboration for care provided by Nurse Practitioners (NPs)</w:t>
      </w:r>
      <w:r w:rsidRPr="00B2456B">
        <w:rPr>
          <w:rFonts w:ascii="Verdana" w:hAnsi="Verdana"/>
          <w:sz w:val="22"/>
          <w:szCs w:val="22"/>
        </w:rPr>
        <w:t xml:space="preserve">. </w:t>
      </w:r>
      <w:r w:rsidR="00B2456B">
        <w:rPr>
          <w:rFonts w:ascii="Verdana" w:hAnsi="Verdana"/>
          <w:sz w:val="22"/>
          <w:szCs w:val="22"/>
        </w:rPr>
        <w:t xml:space="preserve">We believe the solution to addressing healthcare shortages New York faces is to advance policies that will attract and retain trained physicians in New York State, not policies which remove the important oversight they provide over quality care delivery.  </w:t>
      </w:r>
      <w:r w:rsidR="00B2456B">
        <w:rPr>
          <w:rFonts w:ascii="Verdana" w:hAnsi="Verdana"/>
          <w:b/>
          <w:bCs/>
          <w:sz w:val="22"/>
          <w:szCs w:val="22"/>
        </w:rPr>
        <w:t>Therefore,</w:t>
      </w:r>
      <w:r w:rsidR="00B2456B">
        <w:rPr>
          <w:rFonts w:ascii="Verdana" w:hAnsi="Verdana"/>
          <w:sz w:val="22"/>
          <w:szCs w:val="22"/>
        </w:rPr>
        <w:t xml:space="preserve"> t</w:t>
      </w:r>
      <w:r w:rsidRPr="00B2456B">
        <w:rPr>
          <w:rFonts w:ascii="Verdana" w:hAnsi="Verdana"/>
          <w:b/>
          <w:bCs/>
          <w:sz w:val="22"/>
          <w:szCs w:val="22"/>
        </w:rPr>
        <w:t xml:space="preserve">he Medical Society of the State of New York opposes this legislation and urges that it be defeated. </w:t>
      </w:r>
    </w:p>
    <w:p w14:paraId="52CFED79" w14:textId="77777777" w:rsidR="00DD5D08" w:rsidRPr="00B2456B" w:rsidRDefault="00DD5D08" w:rsidP="00DD5D08">
      <w:pPr>
        <w:rPr>
          <w:rFonts w:ascii="Verdana" w:hAnsi="Verdana"/>
          <w:sz w:val="22"/>
          <w:szCs w:val="22"/>
        </w:rPr>
      </w:pPr>
    </w:p>
    <w:p w14:paraId="6370E399" w14:textId="63DF57FF" w:rsidR="00DD5D08" w:rsidRPr="00B2456B" w:rsidRDefault="00DD5D08" w:rsidP="00DD5D08">
      <w:pPr>
        <w:rPr>
          <w:rFonts w:ascii="Verdana" w:hAnsi="Verdana"/>
          <w:sz w:val="22"/>
          <w:szCs w:val="22"/>
        </w:rPr>
      </w:pPr>
      <w:r w:rsidRPr="00B2456B">
        <w:rPr>
          <w:rFonts w:ascii="Verdana" w:hAnsi="Verdana"/>
          <w:sz w:val="22"/>
          <w:szCs w:val="22"/>
        </w:rPr>
        <w:t>Nurse practitioners (NPs) are a critical component of our healthcare system to ensure patients receive the care they need, whether in a physician office, hospital, or in their own practice. But maintaining ongoing team-based care in collaboration with a physician in the same specialty is essential for ensuring patients receive the highest quality care. The crisis standard of care that led to waiver of some statutory provisions during parts of the pandemic should not become the ongoing standard of care for patients. This legislation would encourage the delivery of siloed and uncoordinated patient care by permanently eliminating long-standing collaboration requirements between a NP and physician</w:t>
      </w:r>
      <w:r w:rsidR="00A75663" w:rsidRPr="00B2456B">
        <w:rPr>
          <w:rFonts w:ascii="Verdana" w:hAnsi="Verdana"/>
          <w:sz w:val="22"/>
          <w:szCs w:val="22"/>
        </w:rPr>
        <w:t xml:space="preserve">.  </w:t>
      </w:r>
      <w:r w:rsidRPr="00B2456B">
        <w:rPr>
          <w:rFonts w:ascii="Verdana" w:hAnsi="Verdana"/>
          <w:sz w:val="22"/>
          <w:szCs w:val="22"/>
        </w:rPr>
        <w:t xml:space="preserve">Even when other states such as California eliminated physician collaboration requirements for NPs, they put in place measures to require referral of patients to specialty care physicians when clinical circumstances warranted it. This legislation offers no such patient protections. </w:t>
      </w:r>
    </w:p>
    <w:p w14:paraId="0FF65A5D" w14:textId="77777777" w:rsidR="00DD5D08" w:rsidRPr="00B2456B" w:rsidRDefault="00DD5D08" w:rsidP="00DD5D08">
      <w:pPr>
        <w:rPr>
          <w:rFonts w:ascii="Verdana" w:hAnsi="Verdana"/>
          <w:sz w:val="22"/>
          <w:szCs w:val="22"/>
        </w:rPr>
      </w:pPr>
    </w:p>
    <w:p w14:paraId="6A50A7F3" w14:textId="77777777" w:rsidR="00DD5D08" w:rsidRPr="00B2456B" w:rsidRDefault="00DD5D08" w:rsidP="00DD5D08">
      <w:pPr>
        <w:rPr>
          <w:rFonts w:ascii="Verdana" w:hAnsi="Verdana"/>
          <w:sz w:val="22"/>
          <w:szCs w:val="22"/>
        </w:rPr>
      </w:pPr>
      <w:r w:rsidRPr="00B2456B">
        <w:rPr>
          <w:rFonts w:ascii="Verdana" w:hAnsi="Verdana"/>
          <w:sz w:val="22"/>
          <w:szCs w:val="22"/>
        </w:rPr>
        <w:t xml:space="preserve">Multiple studies show that when non-physicians are permitted to practice independently, this difference in training presents patient safety risks and increases health care costs. </w:t>
      </w:r>
      <w:r w:rsidRPr="00B2456B">
        <w:rPr>
          <w:rFonts w:ascii="Verdana" w:hAnsi="Verdana"/>
          <w:sz w:val="22"/>
          <w:szCs w:val="22"/>
        </w:rPr>
        <w:t xml:space="preserve"> </w:t>
      </w:r>
      <w:r w:rsidRPr="00B2456B">
        <w:rPr>
          <w:rFonts w:ascii="Verdana" w:hAnsi="Verdana"/>
          <w:sz w:val="22"/>
          <w:szCs w:val="22"/>
        </w:rPr>
        <w:t xml:space="preserve"> </w:t>
      </w:r>
      <w:r w:rsidRPr="00B2456B">
        <w:rPr>
          <w:rFonts w:ascii="Verdana" w:hAnsi="Verdana"/>
          <w:sz w:val="22"/>
          <w:szCs w:val="22"/>
        </w:rPr>
        <w:t>E</w:t>
      </w:r>
      <w:r w:rsidRPr="00B2456B">
        <w:rPr>
          <w:rFonts w:ascii="Verdana" w:hAnsi="Verdana"/>
          <w:sz w:val="22"/>
          <w:szCs w:val="22"/>
        </w:rPr>
        <w:t>xamination of 10 years of cost data on 33,000 patients by the South Mississippi system’s accountable care organization (ACO) (</w:t>
      </w:r>
      <w:hyperlink r:id="rId7" w:history="1">
        <w:r w:rsidRPr="00B2456B">
          <w:rPr>
            <w:rFonts w:ascii="Verdana" w:hAnsi="Verdana"/>
            <w:color w:val="0000FF"/>
            <w:sz w:val="22"/>
            <w:szCs w:val="22"/>
            <w:u w:val="single"/>
          </w:rPr>
          <w:t>Amid doctor shortage, NPs and PAs seemed like a fix. Data’s in: Nope. (ama-assn.org)</w:t>
        </w:r>
      </w:hyperlink>
      <w:r w:rsidRPr="00B2456B">
        <w:rPr>
          <w:rFonts w:ascii="Verdana" w:hAnsi="Verdana"/>
          <w:sz w:val="22"/>
          <w:szCs w:val="22"/>
        </w:rPr>
        <w:t>) found that care provided to patients exclusively by non-physicians (PAs and NPs) was much more expensive than the care delivered by physicians. This is because these non-physician providers ordered more tests and referred more patients to specialists and hospital emergency departments than physicians did. The care provided by non</w:t>
      </w:r>
      <w:r w:rsidRPr="00B2456B">
        <w:rPr>
          <w:rFonts w:ascii="Verdana" w:hAnsi="Verdana"/>
          <w:sz w:val="22"/>
          <w:szCs w:val="22"/>
        </w:rPr>
        <w:t>-</w:t>
      </w:r>
      <w:r w:rsidRPr="00B2456B">
        <w:rPr>
          <w:rFonts w:ascii="Verdana" w:hAnsi="Verdana"/>
          <w:sz w:val="22"/>
          <w:szCs w:val="22"/>
        </w:rPr>
        <w:t>physicians was also determined to have lower quality rankings. Moreover, another study (</w:t>
      </w:r>
      <w:hyperlink r:id="rId8" w:history="1">
        <w:r w:rsidRPr="00B2456B">
          <w:rPr>
            <w:rFonts w:ascii="Verdana" w:hAnsi="Verdana"/>
            <w:color w:val="0000FF"/>
            <w:sz w:val="22"/>
            <w:szCs w:val="22"/>
            <w:u w:val="single"/>
          </w:rPr>
          <w:t>3-year study of NPs in the ED: Worse outcomes, higher costs (ama-assn.org)</w:t>
        </w:r>
      </w:hyperlink>
      <w:r w:rsidRPr="00B2456B">
        <w:rPr>
          <w:rFonts w:ascii="Verdana" w:hAnsi="Verdana"/>
          <w:sz w:val="22"/>
          <w:szCs w:val="22"/>
        </w:rPr>
        <w:t xml:space="preserve">) reported that Nurse practitioners (NPs) delivering emergency care without physician supervision or collaboration in the Veterans Health Administration (VHA) increase </w:t>
      </w:r>
      <w:r w:rsidRPr="00B2456B">
        <w:rPr>
          <w:rFonts w:ascii="Verdana" w:hAnsi="Verdana"/>
          <w:sz w:val="22"/>
          <w:szCs w:val="22"/>
        </w:rPr>
        <w:lastRenderedPageBreak/>
        <w:t xml:space="preserve">lengths of stay by 11% and raise 30-day preventable hospitalizations by 20% compared with emergency physicians. Other peer-reviewed studies have found that non-physician practitioners order more diagnostic imaging than physicians do for the same clinical presentations. This not only increases health care costs but threatens patient safety by exposing them to unnecessary radiation. A study in the American Journal of Radiology that analyzed skeletal x-ray utilization for Medicare patients found a 400% increase in ordering by non-physicians who were primarily NPs and PAs. </w:t>
      </w:r>
    </w:p>
    <w:p w14:paraId="6A7C1A42" w14:textId="77777777" w:rsidR="00DD5D08" w:rsidRPr="00B2456B" w:rsidRDefault="00DD5D08" w:rsidP="00DD5D08">
      <w:pPr>
        <w:rPr>
          <w:rFonts w:ascii="Verdana" w:hAnsi="Verdana"/>
          <w:sz w:val="22"/>
          <w:szCs w:val="22"/>
        </w:rPr>
      </w:pPr>
    </w:p>
    <w:p w14:paraId="0D2E73A3" w14:textId="3347F483" w:rsidR="00DD5D08" w:rsidRPr="00B2456B" w:rsidRDefault="00DD5D08" w:rsidP="00DD5D08">
      <w:pPr>
        <w:rPr>
          <w:rFonts w:ascii="Verdana" w:hAnsi="Verdana"/>
          <w:sz w:val="22"/>
          <w:szCs w:val="22"/>
        </w:rPr>
      </w:pPr>
      <w:r w:rsidRPr="00B2456B">
        <w:rPr>
          <w:rFonts w:ascii="Verdana" w:hAnsi="Verdana"/>
          <w:sz w:val="22"/>
          <w:szCs w:val="22"/>
        </w:rPr>
        <w:t>NP education and training to deliver patient care is not interchangeable with physician education and training. Physicians must complete 4 years of medical school plus 3-7 years of residency, including 10,000-16,000 hours of clinical training. But it is more than just the vast difference in hours of education and training – it is also the difference in rigor and standardization between medical school/residency and nurse practitioner programs. During medical school, students receive a comprehensive education in the classroom and in laboratories, where they study the biological, chemical, pharmacological and behavioral aspects of human conditions. This period of intense study is supplemented by two years of patient care rotations through different specialties, during which medical students assist licensed physicians in the care of patients. Following graduation, students must then pass a series of examinations to assess a physician’s readiness for licensure. At this point, medical students “match” into a 3–7-year residency program during which they provide care in a select surgical or medical specialty under the supervision of experienced physician faculty. NP programs do not have similar time-tested standardizations. This far more extensive training is what makes physicians best suited for diagnosing various medical conditions and developing treatment regimens.</w:t>
      </w:r>
    </w:p>
    <w:p w14:paraId="6B058B81" w14:textId="77777777" w:rsidR="00DD5D08" w:rsidRPr="00B2456B" w:rsidRDefault="00DD5D08" w:rsidP="00DD5D08">
      <w:pPr>
        <w:rPr>
          <w:rFonts w:ascii="Verdana" w:hAnsi="Verdana"/>
          <w:sz w:val="22"/>
          <w:szCs w:val="22"/>
        </w:rPr>
      </w:pPr>
    </w:p>
    <w:p w14:paraId="3F0FB97E" w14:textId="77777777" w:rsidR="00B2456B" w:rsidRPr="00B2456B" w:rsidRDefault="00DD5D08" w:rsidP="00A75663">
      <w:pPr>
        <w:rPr>
          <w:rFonts w:ascii="Verdana" w:hAnsi="Verdana"/>
          <w:sz w:val="22"/>
          <w:szCs w:val="22"/>
        </w:rPr>
      </w:pPr>
      <w:r w:rsidRPr="00B2456B">
        <w:rPr>
          <w:rFonts w:ascii="Verdana" w:hAnsi="Verdana"/>
          <w:sz w:val="22"/>
          <w:szCs w:val="22"/>
        </w:rPr>
        <w:t xml:space="preserve">It is also why most patients want a physician involved in their treatment. A recent national survey found that it is important to 95% of patients that a physician be involved with their diagnosis and treatment decisions. Patients feel more comfortable and benefit most by having a team-based approach to health care - with physicians leading the team. Unfortunately, this legislation would have the effect of exacerbating silos in health care delivery and endangering patient safety by removing physicians from the health care team, even in the training of NPs. </w:t>
      </w:r>
    </w:p>
    <w:p w14:paraId="5393AF19" w14:textId="77777777" w:rsidR="00B2456B" w:rsidRPr="00B2456B" w:rsidRDefault="00B2456B" w:rsidP="00A75663">
      <w:pPr>
        <w:rPr>
          <w:rFonts w:ascii="Verdana" w:hAnsi="Verdana"/>
          <w:sz w:val="22"/>
          <w:szCs w:val="22"/>
        </w:rPr>
      </w:pPr>
    </w:p>
    <w:p w14:paraId="4A91981B" w14:textId="48EC3AEC" w:rsidR="00A75663" w:rsidRPr="00B2456B" w:rsidRDefault="00DD5D08" w:rsidP="00A75663">
      <w:pPr>
        <w:rPr>
          <w:rFonts w:ascii="Verdana" w:hAnsi="Verdana"/>
          <w:b/>
          <w:bCs/>
          <w:sz w:val="22"/>
          <w:szCs w:val="22"/>
        </w:rPr>
      </w:pPr>
      <w:r w:rsidRPr="00B2456B">
        <w:rPr>
          <w:rFonts w:ascii="Verdana" w:hAnsi="Verdana"/>
          <w:sz w:val="22"/>
          <w:szCs w:val="22"/>
        </w:rPr>
        <w:t xml:space="preserve">While NPs provide an important role in healthcare delivery, they are not a substitute for a trained physician in ensuring the delivery of quality patient care. </w:t>
      </w:r>
      <w:r w:rsidR="00A75663" w:rsidRPr="00B2456B">
        <w:rPr>
          <w:rFonts w:ascii="Verdana" w:hAnsi="Verdana"/>
          <w:sz w:val="22"/>
          <w:szCs w:val="22"/>
        </w:rPr>
        <w:t xml:space="preserve">  </w:t>
      </w:r>
      <w:r w:rsidR="00A75663" w:rsidRPr="00B2456B">
        <w:rPr>
          <w:rFonts w:ascii="Verdana" w:hAnsi="Verdana"/>
          <w:sz w:val="22"/>
          <w:szCs w:val="22"/>
        </w:rPr>
        <w:t xml:space="preserve">We urge </w:t>
      </w:r>
      <w:r w:rsidR="00B2456B" w:rsidRPr="00B2456B">
        <w:rPr>
          <w:rFonts w:ascii="Verdana" w:hAnsi="Verdana"/>
          <w:sz w:val="22"/>
          <w:szCs w:val="22"/>
        </w:rPr>
        <w:t xml:space="preserve">policymakers </w:t>
      </w:r>
      <w:r w:rsidR="00A75663" w:rsidRPr="00B2456B">
        <w:rPr>
          <w:rFonts w:ascii="Verdana" w:hAnsi="Verdana"/>
          <w:sz w:val="22"/>
          <w:szCs w:val="22"/>
        </w:rPr>
        <w:t>to prioritize expanding access to skilled primary and specialty care physicians</w:t>
      </w:r>
      <w:r w:rsidR="00B2456B" w:rsidRPr="00B2456B">
        <w:rPr>
          <w:rFonts w:ascii="Verdana" w:hAnsi="Verdana"/>
          <w:sz w:val="22"/>
          <w:szCs w:val="22"/>
        </w:rPr>
        <w:t xml:space="preserve"> </w:t>
      </w:r>
      <w:r w:rsidR="00A75663" w:rsidRPr="00B2456B">
        <w:rPr>
          <w:rFonts w:ascii="Verdana" w:hAnsi="Verdana"/>
          <w:sz w:val="22"/>
          <w:szCs w:val="22"/>
        </w:rPr>
        <w:t xml:space="preserve">instead of imperfect solutions that seek to replace them. </w:t>
      </w:r>
      <w:r w:rsidR="00B2456B">
        <w:rPr>
          <w:rFonts w:ascii="Verdana" w:hAnsi="Verdana"/>
          <w:sz w:val="22"/>
          <w:szCs w:val="22"/>
        </w:rPr>
        <w:t xml:space="preserve"> </w:t>
      </w:r>
      <w:r w:rsidR="00B2456B">
        <w:rPr>
          <w:rFonts w:ascii="Verdana" w:hAnsi="Verdana"/>
          <w:b/>
          <w:bCs/>
          <w:sz w:val="22"/>
          <w:szCs w:val="22"/>
        </w:rPr>
        <w:t>We urge that this legislation be defeated.</w:t>
      </w:r>
    </w:p>
    <w:p w14:paraId="29501939" w14:textId="4E85231E" w:rsidR="00DD5D08" w:rsidRPr="00B2456B" w:rsidRDefault="00DD5D08" w:rsidP="00DD5D08">
      <w:pPr>
        <w:rPr>
          <w:rFonts w:ascii="Verdana" w:hAnsi="Verdana"/>
          <w:sz w:val="22"/>
          <w:szCs w:val="22"/>
        </w:rPr>
      </w:pPr>
    </w:p>
    <w:p w14:paraId="2BB52D1E" w14:textId="77777777" w:rsidR="00DD5D08" w:rsidRPr="00B2456B" w:rsidRDefault="00DD5D08" w:rsidP="00DD5D08">
      <w:pPr>
        <w:rPr>
          <w:rFonts w:ascii="Verdana" w:eastAsiaTheme="minorHAnsi" w:hAnsi="Verdana"/>
          <w:b/>
          <w:sz w:val="22"/>
          <w:szCs w:val="22"/>
        </w:rPr>
      </w:pPr>
    </w:p>
    <w:p w14:paraId="11E62CF0" w14:textId="0F402AC3" w:rsidR="00774E44" w:rsidRPr="00B2456B" w:rsidRDefault="00774E44" w:rsidP="00DD5D08">
      <w:pPr>
        <w:ind w:left="3600" w:firstLine="720"/>
        <w:rPr>
          <w:rFonts w:ascii="Verdana" w:hAnsi="Verdana"/>
          <w:sz w:val="22"/>
          <w:szCs w:val="22"/>
        </w:rPr>
      </w:pPr>
      <w:r w:rsidRPr="00B2456B">
        <w:rPr>
          <w:rFonts w:ascii="Verdana" w:eastAsiaTheme="minorHAnsi" w:hAnsi="Verdana"/>
          <w:b/>
          <w:sz w:val="22"/>
          <w:szCs w:val="22"/>
        </w:rPr>
        <w:t>Respectfully Submitted,</w:t>
      </w:r>
    </w:p>
    <w:p w14:paraId="53F4FFC7" w14:textId="174DCD61" w:rsidR="009F2E25" w:rsidRPr="00B2456B" w:rsidRDefault="00E70BB5" w:rsidP="00A8182F">
      <w:pPr>
        <w:rPr>
          <w:rFonts w:ascii="Verdana" w:eastAsiaTheme="minorHAnsi" w:hAnsi="Verdana"/>
          <w:b/>
          <w:sz w:val="22"/>
          <w:szCs w:val="22"/>
        </w:rPr>
      </w:pPr>
      <w:r w:rsidRPr="00B2456B">
        <w:rPr>
          <w:rFonts w:ascii="Verdana" w:eastAsiaTheme="minorHAnsi" w:hAnsi="Verdana"/>
          <w:b/>
          <w:sz w:val="22"/>
          <w:szCs w:val="22"/>
        </w:rPr>
        <w:t>MMA</w:t>
      </w:r>
      <w:r w:rsidR="00774E44" w:rsidRPr="00B2456B">
        <w:rPr>
          <w:rFonts w:ascii="Verdana" w:eastAsiaTheme="minorHAnsi" w:hAnsi="Verdana"/>
          <w:b/>
          <w:sz w:val="22"/>
          <w:szCs w:val="22"/>
        </w:rPr>
        <w:t xml:space="preserve"> </w:t>
      </w:r>
      <w:r w:rsidR="00A8182F" w:rsidRPr="00B2456B">
        <w:rPr>
          <w:rFonts w:ascii="Verdana" w:eastAsiaTheme="minorHAnsi" w:hAnsi="Verdana"/>
          <w:b/>
          <w:sz w:val="22"/>
          <w:szCs w:val="22"/>
        </w:rPr>
        <w:t>–</w:t>
      </w:r>
      <w:r w:rsidR="00774E44" w:rsidRPr="00B2456B">
        <w:rPr>
          <w:rFonts w:ascii="Verdana" w:eastAsiaTheme="minorHAnsi" w:hAnsi="Verdana"/>
          <w:b/>
          <w:sz w:val="22"/>
          <w:szCs w:val="22"/>
        </w:rPr>
        <w:t xml:space="preserve"> </w:t>
      </w:r>
      <w:r w:rsidR="00846DE5" w:rsidRPr="00B2456B">
        <w:rPr>
          <w:rFonts w:ascii="Verdana" w:eastAsiaTheme="minorHAnsi" w:hAnsi="Verdana"/>
          <w:b/>
          <w:sz w:val="22"/>
          <w:szCs w:val="22"/>
        </w:rPr>
        <w:t>O</w:t>
      </w:r>
      <w:r w:rsidR="00774E44" w:rsidRPr="00B2456B">
        <w:rPr>
          <w:rFonts w:ascii="Verdana" w:eastAsiaTheme="minorHAnsi" w:hAnsi="Verdana"/>
          <w:b/>
          <w:sz w:val="22"/>
          <w:szCs w:val="22"/>
        </w:rPr>
        <w:t>ppose</w:t>
      </w:r>
      <w:r w:rsidR="00A8182F" w:rsidRPr="00B2456B">
        <w:rPr>
          <w:rFonts w:ascii="Verdana" w:eastAsiaTheme="minorHAnsi" w:hAnsi="Verdana"/>
          <w:b/>
          <w:sz w:val="22"/>
          <w:szCs w:val="22"/>
        </w:rPr>
        <w:tab/>
      </w:r>
      <w:r w:rsidR="00A8182F" w:rsidRPr="00B2456B">
        <w:rPr>
          <w:rFonts w:ascii="Verdana" w:eastAsiaTheme="minorHAnsi" w:hAnsi="Verdana"/>
          <w:b/>
          <w:sz w:val="22"/>
          <w:szCs w:val="22"/>
        </w:rPr>
        <w:tab/>
      </w:r>
      <w:r w:rsidR="00A8182F" w:rsidRPr="00B2456B">
        <w:rPr>
          <w:rFonts w:ascii="Verdana" w:eastAsiaTheme="minorHAnsi" w:hAnsi="Verdana"/>
          <w:b/>
          <w:sz w:val="22"/>
          <w:szCs w:val="22"/>
        </w:rPr>
        <w:tab/>
      </w:r>
      <w:r w:rsidR="009F2E25" w:rsidRPr="00B2456B">
        <w:rPr>
          <w:rFonts w:ascii="Verdana" w:eastAsiaTheme="minorHAnsi" w:hAnsi="Verdana"/>
          <w:b/>
          <w:sz w:val="22"/>
          <w:szCs w:val="22"/>
        </w:rPr>
        <w:tab/>
      </w:r>
      <w:r w:rsidR="009F2E25" w:rsidRPr="00B2456B">
        <w:rPr>
          <w:rFonts w:ascii="Verdana" w:eastAsiaTheme="minorHAnsi" w:hAnsi="Verdana"/>
          <w:b/>
          <w:sz w:val="22"/>
          <w:szCs w:val="22"/>
        </w:rPr>
        <w:tab/>
      </w:r>
    </w:p>
    <w:p w14:paraId="4E44C45F" w14:textId="55499A0E" w:rsidR="00454F15" w:rsidRPr="00244FF6" w:rsidRDefault="00DD5D08" w:rsidP="00DD5D08">
      <w:pPr>
        <w:rPr>
          <w:rFonts w:eastAsiaTheme="minorHAnsi"/>
          <w:b/>
        </w:rPr>
      </w:pPr>
      <w:r w:rsidRPr="00B2456B">
        <w:rPr>
          <w:rFonts w:ascii="Verdana" w:eastAsiaTheme="minorHAnsi" w:hAnsi="Verdana"/>
          <w:b/>
          <w:sz w:val="22"/>
          <w:szCs w:val="22"/>
        </w:rPr>
        <w:t>1/22/24</w:t>
      </w:r>
      <w:r w:rsidRPr="00B2456B">
        <w:rPr>
          <w:rFonts w:ascii="Verdana" w:eastAsiaTheme="minorHAnsi" w:hAnsi="Verdana"/>
          <w:b/>
          <w:sz w:val="22"/>
          <w:szCs w:val="22"/>
        </w:rPr>
        <w:tab/>
      </w:r>
      <w:r w:rsidRPr="00B2456B">
        <w:rPr>
          <w:rFonts w:ascii="Verdana" w:eastAsiaTheme="minorHAnsi" w:hAnsi="Verdana"/>
          <w:b/>
          <w:sz w:val="22"/>
          <w:szCs w:val="22"/>
        </w:rPr>
        <w:tab/>
      </w:r>
      <w:r w:rsidRPr="00B2456B">
        <w:rPr>
          <w:rFonts w:ascii="Verdana" w:eastAsiaTheme="minorHAnsi" w:hAnsi="Verdana"/>
          <w:b/>
          <w:sz w:val="22"/>
          <w:szCs w:val="22"/>
        </w:rPr>
        <w:tab/>
      </w:r>
      <w:r w:rsidRPr="00B2456B">
        <w:rPr>
          <w:rFonts w:ascii="Verdana" w:eastAsiaTheme="minorHAnsi" w:hAnsi="Verdana"/>
          <w:b/>
          <w:sz w:val="22"/>
          <w:szCs w:val="22"/>
        </w:rPr>
        <w:tab/>
      </w:r>
      <w:r w:rsidRPr="00B2456B">
        <w:rPr>
          <w:rFonts w:ascii="Verdana" w:eastAsiaTheme="minorHAnsi" w:hAnsi="Verdana"/>
          <w:b/>
          <w:sz w:val="22"/>
          <w:szCs w:val="22"/>
        </w:rPr>
        <w:tab/>
      </w:r>
      <w:r w:rsidR="00774E44" w:rsidRPr="00B2456B">
        <w:rPr>
          <w:rFonts w:ascii="Verdana" w:eastAsiaTheme="minorHAnsi" w:hAnsi="Verdana"/>
          <w:b/>
          <w:sz w:val="22"/>
          <w:szCs w:val="22"/>
        </w:rPr>
        <w:t>MSSNY DIVISION OF GOVERNMENTAL</w:t>
      </w:r>
      <w:r w:rsidR="00774E44" w:rsidRPr="00244FF6">
        <w:rPr>
          <w:rFonts w:eastAsiaTheme="minorHAnsi"/>
          <w:b/>
        </w:rPr>
        <w:t xml:space="preserve"> </w:t>
      </w:r>
      <w:r w:rsidR="00774E44" w:rsidRPr="00B2456B">
        <w:rPr>
          <w:rFonts w:eastAsiaTheme="minorHAnsi"/>
          <w:b/>
          <w:sz w:val="22"/>
          <w:szCs w:val="22"/>
        </w:rPr>
        <w:t>AFFAIRS</w:t>
      </w:r>
    </w:p>
    <w:sectPr w:rsidR="00454F15" w:rsidRPr="00244FF6" w:rsidSect="00407C17">
      <w:headerReference w:type="even" r:id="rId9"/>
      <w:footerReference w:type="default" r:id="rId10"/>
      <w:pgSz w:w="12240" w:h="15840" w:code="1"/>
      <w:pgMar w:top="288" w:right="432" w:bottom="720" w:left="43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FA1F" w14:textId="77777777" w:rsidR="006A40F4" w:rsidRDefault="006A40F4">
      <w:r>
        <w:separator/>
      </w:r>
    </w:p>
  </w:endnote>
  <w:endnote w:type="continuationSeparator" w:id="0">
    <w:p w14:paraId="565433A3" w14:textId="77777777" w:rsidR="006A40F4" w:rsidRDefault="006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C6BF" w14:textId="77777777" w:rsidR="008F7C0B" w:rsidRDefault="008F7C0B">
    <w:pPr>
      <w:pStyle w:val="Footer"/>
      <w:rPr>
        <w:sz w:val="22"/>
        <w:szCs w:val="22"/>
        <w:lang w:val="fr-FR"/>
      </w:rPr>
    </w:pPr>
  </w:p>
  <w:p w14:paraId="706A5C0F" w14:textId="6C4F2237" w:rsidR="00F17D22" w:rsidRPr="00846DE5" w:rsidRDefault="00F17D22" w:rsidP="00916F2A">
    <w:pPr>
      <w:pStyle w:val="Footer"/>
      <w:rPr>
        <w:sz w:val="20"/>
        <w:szCs w:val="20"/>
        <w:lang w:val="fr-FR"/>
      </w:rPr>
    </w:pPr>
    <w:r w:rsidRPr="00846DE5">
      <w:rPr>
        <w:sz w:val="20"/>
        <w:szCs w:val="20"/>
        <w:lang w:val="fr-FR"/>
      </w:rPr>
      <w:t>1</w:t>
    </w:r>
    <w:r w:rsidR="00846DE5" w:rsidRPr="00846DE5">
      <w:rPr>
        <w:sz w:val="20"/>
        <w:szCs w:val="20"/>
        <w:lang w:val="fr-FR"/>
      </w:rPr>
      <w:t>50 Washington Avenue, Second Floor</w:t>
    </w:r>
    <w:r w:rsidRPr="00846DE5">
      <w:rPr>
        <w:sz w:val="20"/>
        <w:szCs w:val="20"/>
        <w:lang w:val="fr-FR"/>
      </w:rPr>
      <w:t xml:space="preserve">, Albany, NY  12210 </w:t>
    </w:r>
    <w:r w:rsidRPr="00846DE5">
      <w:rPr>
        <w:sz w:val="20"/>
        <w:szCs w:val="20"/>
        <w:lang w:val="fr-FR"/>
      </w:rPr>
      <w:sym w:font="Wingdings" w:char="F09F"/>
    </w:r>
    <w:r w:rsidRPr="00846DE5">
      <w:rPr>
        <w:sz w:val="20"/>
        <w:szCs w:val="20"/>
        <w:lang w:val="fr-FR"/>
      </w:rPr>
      <w:t xml:space="preserve"> TEL (518) 465-8085 </w:t>
    </w:r>
    <w:r w:rsidRPr="00846DE5">
      <w:rPr>
        <w:sz w:val="20"/>
        <w:szCs w:val="20"/>
        <w:lang w:val="fr-FR"/>
      </w:rPr>
      <w:sym w:font="Wingdings" w:char="F09F"/>
    </w:r>
    <w:r w:rsidRPr="00846DE5">
      <w:rPr>
        <w:sz w:val="20"/>
        <w:szCs w:val="20"/>
        <w:lang w:val="fr-FR"/>
      </w:rPr>
      <w:t xml:space="preserve"> FAX (518) 465-0976</w:t>
    </w:r>
    <w:r w:rsidR="00916F2A" w:rsidRPr="00846DE5">
      <w:rPr>
        <w:sz w:val="20"/>
        <w:szCs w:val="20"/>
        <w:lang w:val="fr-FR"/>
      </w:rPr>
      <w:t xml:space="preserve"> </w:t>
    </w:r>
    <w:r w:rsidR="00846DE5">
      <w:rPr>
        <w:sz w:val="20"/>
        <w:szCs w:val="20"/>
        <w:lang w:val="fr-FR"/>
      </w:rPr>
      <w:t>E</w:t>
    </w:r>
    <w:r w:rsidR="00916F2A" w:rsidRPr="00846DE5">
      <w:rPr>
        <w:sz w:val="20"/>
        <w:szCs w:val="20"/>
        <w:lang w:val="fr-FR"/>
      </w:rPr>
      <w:t>mail</w:t>
    </w:r>
    <w:r w:rsidRPr="00846DE5">
      <w:rPr>
        <w:sz w:val="20"/>
        <w:szCs w:val="20"/>
        <w:lang w:val="fr-FR"/>
      </w:rPr>
      <w:t>:</w:t>
    </w:r>
    <w:r w:rsidR="00916F2A" w:rsidRPr="00846DE5">
      <w:rPr>
        <w:sz w:val="20"/>
        <w:szCs w:val="20"/>
        <w:lang w:val="fr-FR"/>
      </w:rPr>
      <w:t xml:space="preserve"> albany@mssny.org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E77B" w14:textId="77777777" w:rsidR="006A40F4" w:rsidRDefault="006A40F4">
      <w:r>
        <w:separator/>
      </w:r>
    </w:p>
  </w:footnote>
  <w:footnote w:type="continuationSeparator" w:id="0">
    <w:p w14:paraId="0DF90DF2" w14:textId="77777777" w:rsidR="006A40F4" w:rsidRDefault="006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88C6" w14:textId="77777777" w:rsidR="009C798A" w:rsidRDefault="009C798A" w:rsidP="00D165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CBB">
      <w:rPr>
        <w:rStyle w:val="PageNumber"/>
        <w:noProof/>
      </w:rPr>
      <w:t>2</w:t>
    </w:r>
    <w:r>
      <w:rPr>
        <w:rStyle w:val="PageNumber"/>
      </w:rPr>
      <w:fldChar w:fldCharType="end"/>
    </w:r>
  </w:p>
  <w:p w14:paraId="407006A5" w14:textId="77777777" w:rsidR="009C798A" w:rsidRDefault="009C7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1CA6"/>
    <w:multiLevelType w:val="hybridMultilevel"/>
    <w:tmpl w:val="962C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620F5"/>
    <w:multiLevelType w:val="hybridMultilevel"/>
    <w:tmpl w:val="116C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56BE2"/>
    <w:multiLevelType w:val="hybridMultilevel"/>
    <w:tmpl w:val="3C48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50A13"/>
    <w:multiLevelType w:val="hybridMultilevel"/>
    <w:tmpl w:val="57EA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26360"/>
    <w:multiLevelType w:val="hybridMultilevel"/>
    <w:tmpl w:val="39BE7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6827187">
    <w:abstractNumId w:val="4"/>
  </w:num>
  <w:num w:numId="2" w16cid:durableId="172258308">
    <w:abstractNumId w:val="2"/>
  </w:num>
  <w:num w:numId="3" w16cid:durableId="972177897">
    <w:abstractNumId w:val="0"/>
  </w:num>
  <w:num w:numId="4" w16cid:durableId="23333299">
    <w:abstractNumId w:val="3"/>
  </w:num>
  <w:num w:numId="5" w16cid:durableId="25999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4"/>
    <w:rsid w:val="00010DCD"/>
    <w:rsid w:val="00030DA2"/>
    <w:rsid w:val="000379DA"/>
    <w:rsid w:val="00037D9F"/>
    <w:rsid w:val="00047EB8"/>
    <w:rsid w:val="00050763"/>
    <w:rsid w:val="00072E3F"/>
    <w:rsid w:val="000735C7"/>
    <w:rsid w:val="00083DA1"/>
    <w:rsid w:val="000A775F"/>
    <w:rsid w:val="000B2440"/>
    <w:rsid w:val="00101F54"/>
    <w:rsid w:val="00112E1E"/>
    <w:rsid w:val="001358C4"/>
    <w:rsid w:val="0013710D"/>
    <w:rsid w:val="00144267"/>
    <w:rsid w:val="00163C74"/>
    <w:rsid w:val="0017789E"/>
    <w:rsid w:val="001B7964"/>
    <w:rsid w:val="001C2727"/>
    <w:rsid w:val="001E21BB"/>
    <w:rsid w:val="0021058C"/>
    <w:rsid w:val="002216CC"/>
    <w:rsid w:val="0022694B"/>
    <w:rsid w:val="00231252"/>
    <w:rsid w:val="002358F9"/>
    <w:rsid w:val="00237044"/>
    <w:rsid w:val="00244FF6"/>
    <w:rsid w:val="002552F4"/>
    <w:rsid w:val="00267286"/>
    <w:rsid w:val="00284002"/>
    <w:rsid w:val="002960E9"/>
    <w:rsid w:val="002A4A05"/>
    <w:rsid w:val="002E2A4C"/>
    <w:rsid w:val="002E3E6D"/>
    <w:rsid w:val="002F0769"/>
    <w:rsid w:val="00301844"/>
    <w:rsid w:val="003251FD"/>
    <w:rsid w:val="00355B42"/>
    <w:rsid w:val="00394463"/>
    <w:rsid w:val="003A0CBB"/>
    <w:rsid w:val="003A1A96"/>
    <w:rsid w:val="003A454E"/>
    <w:rsid w:val="003C175C"/>
    <w:rsid w:val="003E2C4A"/>
    <w:rsid w:val="003E2CB9"/>
    <w:rsid w:val="003E73F1"/>
    <w:rsid w:val="00406AC6"/>
    <w:rsid w:val="00407C17"/>
    <w:rsid w:val="0042605C"/>
    <w:rsid w:val="00443524"/>
    <w:rsid w:val="00453957"/>
    <w:rsid w:val="00454F15"/>
    <w:rsid w:val="0048626C"/>
    <w:rsid w:val="00490BD0"/>
    <w:rsid w:val="004A541A"/>
    <w:rsid w:val="004C68EA"/>
    <w:rsid w:val="004E0C54"/>
    <w:rsid w:val="004E33A0"/>
    <w:rsid w:val="004E4418"/>
    <w:rsid w:val="005001CC"/>
    <w:rsid w:val="005076A6"/>
    <w:rsid w:val="005159D8"/>
    <w:rsid w:val="00526A7E"/>
    <w:rsid w:val="00553D7D"/>
    <w:rsid w:val="005612CB"/>
    <w:rsid w:val="005818EC"/>
    <w:rsid w:val="005B12C1"/>
    <w:rsid w:val="005F7AA0"/>
    <w:rsid w:val="00626B03"/>
    <w:rsid w:val="006A3146"/>
    <w:rsid w:val="006A40F4"/>
    <w:rsid w:val="006A4B34"/>
    <w:rsid w:val="006A501B"/>
    <w:rsid w:val="006A749C"/>
    <w:rsid w:val="006A78D2"/>
    <w:rsid w:val="006B590A"/>
    <w:rsid w:val="006D3062"/>
    <w:rsid w:val="007346F0"/>
    <w:rsid w:val="00736175"/>
    <w:rsid w:val="00740660"/>
    <w:rsid w:val="00751871"/>
    <w:rsid w:val="00752D5C"/>
    <w:rsid w:val="00753FE1"/>
    <w:rsid w:val="00774E44"/>
    <w:rsid w:val="00795D9B"/>
    <w:rsid w:val="007A1A2C"/>
    <w:rsid w:val="007C1C59"/>
    <w:rsid w:val="008011CB"/>
    <w:rsid w:val="00822BC1"/>
    <w:rsid w:val="0083712C"/>
    <w:rsid w:val="00846DE5"/>
    <w:rsid w:val="00852CD7"/>
    <w:rsid w:val="008545C6"/>
    <w:rsid w:val="00865EE9"/>
    <w:rsid w:val="00884F8B"/>
    <w:rsid w:val="008D1E36"/>
    <w:rsid w:val="008E5596"/>
    <w:rsid w:val="008E5D92"/>
    <w:rsid w:val="008F13BC"/>
    <w:rsid w:val="008F20DC"/>
    <w:rsid w:val="008F7C0B"/>
    <w:rsid w:val="00916F2A"/>
    <w:rsid w:val="00932CFC"/>
    <w:rsid w:val="00986422"/>
    <w:rsid w:val="009A2D1A"/>
    <w:rsid w:val="009B378B"/>
    <w:rsid w:val="009C10E9"/>
    <w:rsid w:val="009C3448"/>
    <w:rsid w:val="009C798A"/>
    <w:rsid w:val="009D5305"/>
    <w:rsid w:val="009E27E8"/>
    <w:rsid w:val="009F2E25"/>
    <w:rsid w:val="00A34772"/>
    <w:rsid w:val="00A633F6"/>
    <w:rsid w:val="00A67F09"/>
    <w:rsid w:val="00A70EA8"/>
    <w:rsid w:val="00A71171"/>
    <w:rsid w:val="00A75663"/>
    <w:rsid w:val="00A77405"/>
    <w:rsid w:val="00A8182F"/>
    <w:rsid w:val="00A93FE0"/>
    <w:rsid w:val="00AF4059"/>
    <w:rsid w:val="00B034D4"/>
    <w:rsid w:val="00B2105E"/>
    <w:rsid w:val="00B2239D"/>
    <w:rsid w:val="00B2456B"/>
    <w:rsid w:val="00B37FF6"/>
    <w:rsid w:val="00B44F67"/>
    <w:rsid w:val="00B60B20"/>
    <w:rsid w:val="00B67FBA"/>
    <w:rsid w:val="00C14F71"/>
    <w:rsid w:val="00C3739D"/>
    <w:rsid w:val="00C52367"/>
    <w:rsid w:val="00C83976"/>
    <w:rsid w:val="00C90F7A"/>
    <w:rsid w:val="00CA78A2"/>
    <w:rsid w:val="00CB7605"/>
    <w:rsid w:val="00CE240D"/>
    <w:rsid w:val="00CE6EA5"/>
    <w:rsid w:val="00D16506"/>
    <w:rsid w:val="00D31F4C"/>
    <w:rsid w:val="00D321CB"/>
    <w:rsid w:val="00D41CD6"/>
    <w:rsid w:val="00D85E3E"/>
    <w:rsid w:val="00DA323B"/>
    <w:rsid w:val="00DA7283"/>
    <w:rsid w:val="00DA7415"/>
    <w:rsid w:val="00DC7919"/>
    <w:rsid w:val="00DD5D08"/>
    <w:rsid w:val="00DE4C36"/>
    <w:rsid w:val="00E22E8B"/>
    <w:rsid w:val="00E70BB5"/>
    <w:rsid w:val="00E81778"/>
    <w:rsid w:val="00E95DF9"/>
    <w:rsid w:val="00EB43AD"/>
    <w:rsid w:val="00ED5498"/>
    <w:rsid w:val="00EE4B41"/>
    <w:rsid w:val="00F046F1"/>
    <w:rsid w:val="00F05AE6"/>
    <w:rsid w:val="00F15026"/>
    <w:rsid w:val="00F1779F"/>
    <w:rsid w:val="00F17D22"/>
    <w:rsid w:val="00F3213C"/>
    <w:rsid w:val="00F37695"/>
    <w:rsid w:val="00F570A9"/>
    <w:rsid w:val="00F64E44"/>
    <w:rsid w:val="00F91149"/>
    <w:rsid w:val="00FB0285"/>
    <w:rsid w:val="00FC3EA1"/>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C387C"/>
  <w15:docId w15:val="{4BF8ED14-B0DD-476D-B2B6-BA2EB953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171"/>
    <w:rPr>
      <w:sz w:val="24"/>
      <w:szCs w:val="24"/>
    </w:rPr>
  </w:style>
  <w:style w:type="paragraph" w:styleId="Heading1">
    <w:name w:val="heading 1"/>
    <w:basedOn w:val="Normal"/>
    <w:next w:val="Normal"/>
    <w:qFormat/>
    <w:rsid w:val="00301844"/>
    <w:pPr>
      <w:keepNext/>
      <w:outlineLvl w:val="0"/>
    </w:pPr>
    <w:rPr>
      <w:b/>
      <w:bCs/>
    </w:rPr>
  </w:style>
  <w:style w:type="paragraph" w:styleId="Heading2">
    <w:name w:val="heading 2"/>
    <w:basedOn w:val="Normal"/>
    <w:next w:val="Normal"/>
    <w:qFormat/>
    <w:rsid w:val="00301844"/>
    <w:pPr>
      <w:keepNext/>
      <w:ind w:left="504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71"/>
    <w:pPr>
      <w:tabs>
        <w:tab w:val="center" w:pos="4320"/>
        <w:tab w:val="right" w:pos="8640"/>
      </w:tabs>
    </w:pPr>
  </w:style>
  <w:style w:type="paragraph" w:styleId="Footer">
    <w:name w:val="footer"/>
    <w:basedOn w:val="Normal"/>
    <w:rsid w:val="00A71171"/>
    <w:pPr>
      <w:tabs>
        <w:tab w:val="center" w:pos="4320"/>
        <w:tab w:val="right" w:pos="8640"/>
      </w:tabs>
    </w:pPr>
  </w:style>
  <w:style w:type="paragraph" w:styleId="BodyText">
    <w:name w:val="Body Text"/>
    <w:basedOn w:val="Normal"/>
    <w:rsid w:val="00301844"/>
    <w:rPr>
      <w:b/>
      <w:bCs/>
    </w:rPr>
  </w:style>
  <w:style w:type="character" w:styleId="PageNumber">
    <w:name w:val="page number"/>
    <w:basedOn w:val="DefaultParagraphFont"/>
    <w:rsid w:val="00301844"/>
  </w:style>
  <w:style w:type="character" w:styleId="Hyperlink">
    <w:name w:val="Hyperlink"/>
    <w:basedOn w:val="DefaultParagraphFont"/>
    <w:unhideWhenUsed/>
    <w:rsid w:val="00916F2A"/>
    <w:rPr>
      <w:color w:val="0000FF" w:themeColor="hyperlink"/>
      <w:u w:val="single"/>
    </w:rPr>
  </w:style>
  <w:style w:type="paragraph" w:styleId="NoSpacing">
    <w:name w:val="No Spacing"/>
    <w:uiPriority w:val="1"/>
    <w:qFormat/>
    <w:rsid w:val="003E73F1"/>
    <w:rPr>
      <w:sz w:val="24"/>
      <w:szCs w:val="24"/>
    </w:rPr>
  </w:style>
  <w:style w:type="paragraph" w:styleId="HTMLPreformatted">
    <w:name w:val="HTML Preformatted"/>
    <w:basedOn w:val="Normal"/>
    <w:link w:val="HTMLPreformattedChar"/>
    <w:unhideWhenUsed/>
    <w:rsid w:val="000379DA"/>
    <w:rPr>
      <w:rFonts w:ascii="Consolas" w:hAnsi="Consolas"/>
      <w:sz w:val="20"/>
      <w:szCs w:val="20"/>
    </w:rPr>
  </w:style>
  <w:style w:type="character" w:customStyle="1" w:styleId="HTMLPreformattedChar">
    <w:name w:val="HTML Preformatted Char"/>
    <w:basedOn w:val="DefaultParagraphFont"/>
    <w:link w:val="HTMLPreformatted"/>
    <w:rsid w:val="000379DA"/>
    <w:rPr>
      <w:rFonts w:ascii="Consolas" w:hAnsi="Consolas"/>
    </w:rPr>
  </w:style>
  <w:style w:type="character" w:styleId="UnresolvedMention">
    <w:name w:val="Unresolved Mention"/>
    <w:basedOn w:val="DefaultParagraphFont"/>
    <w:uiPriority w:val="99"/>
    <w:semiHidden/>
    <w:unhideWhenUsed/>
    <w:rsid w:val="008011CB"/>
    <w:rPr>
      <w:color w:val="605E5C"/>
      <w:shd w:val="clear" w:color="auto" w:fill="E1DFDD"/>
    </w:rPr>
  </w:style>
  <w:style w:type="paragraph" w:styleId="NormalWeb">
    <w:name w:val="Normal (Web)"/>
    <w:basedOn w:val="Normal"/>
    <w:uiPriority w:val="99"/>
    <w:unhideWhenUsed/>
    <w:rsid w:val="00FC3EA1"/>
    <w:pPr>
      <w:spacing w:before="100" w:beforeAutospacing="1" w:after="100" w:afterAutospacing="1"/>
    </w:pPr>
  </w:style>
  <w:style w:type="paragraph" w:styleId="ListParagraph">
    <w:name w:val="List Paragraph"/>
    <w:basedOn w:val="Normal"/>
    <w:uiPriority w:val="34"/>
    <w:qFormat/>
    <w:rsid w:val="007A1A2C"/>
    <w:pPr>
      <w:spacing w:after="160" w:line="259" w:lineRule="auto"/>
      <w:ind w:left="720"/>
      <w:contextualSpacing/>
    </w:pPr>
    <w:rPr>
      <w:rFonts w:asciiTheme="minorHAnsi" w:eastAsiaTheme="minorHAnsi" w:hAnsiTheme="minorHAnsi" w:cstheme="minorHAnsi"/>
    </w:rPr>
  </w:style>
  <w:style w:type="paragraph" w:styleId="FootnoteText">
    <w:name w:val="footnote text"/>
    <w:basedOn w:val="Normal"/>
    <w:link w:val="FootnoteTextChar"/>
    <w:uiPriority w:val="99"/>
    <w:semiHidden/>
    <w:unhideWhenUsed/>
    <w:rsid w:val="007A1A2C"/>
    <w:rPr>
      <w:rFonts w:asciiTheme="minorHAnsi" w:eastAsiaTheme="minorHAnsi" w:hAnsiTheme="minorHAnsi" w:cstheme="minorHAnsi"/>
      <w:sz w:val="20"/>
      <w:szCs w:val="20"/>
    </w:rPr>
  </w:style>
  <w:style w:type="character" w:customStyle="1" w:styleId="FootnoteTextChar">
    <w:name w:val="Footnote Text Char"/>
    <w:basedOn w:val="DefaultParagraphFont"/>
    <w:link w:val="FootnoteText"/>
    <w:uiPriority w:val="99"/>
    <w:semiHidden/>
    <w:rsid w:val="007A1A2C"/>
    <w:rPr>
      <w:rFonts w:asciiTheme="minorHAnsi" w:eastAsiaTheme="minorHAnsi" w:hAnsiTheme="minorHAnsi" w:cstheme="minorHAnsi"/>
    </w:rPr>
  </w:style>
  <w:style w:type="character" w:styleId="FootnoteReference">
    <w:name w:val="footnote reference"/>
    <w:basedOn w:val="DefaultParagraphFont"/>
    <w:uiPriority w:val="99"/>
    <w:semiHidden/>
    <w:unhideWhenUsed/>
    <w:rsid w:val="007A1A2C"/>
    <w:rPr>
      <w:vertAlign w:val="superscript"/>
    </w:rPr>
  </w:style>
  <w:style w:type="paragraph" w:customStyle="1" w:styleId="Default">
    <w:name w:val="Default"/>
    <w:rsid w:val="00A93F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practice-management/scope-practice/3-year-study-nps-ed-worse-outcomes-higher-costs" TargetMode="External"/><Relationship Id="rId3" Type="http://schemas.openxmlformats.org/officeDocument/2006/relationships/settings" Target="settings.xml"/><Relationship Id="rId7" Type="http://schemas.openxmlformats.org/officeDocument/2006/relationships/hyperlink" Target="https://www.ama-assn.org/practice-management/scope-practice/amid-doctor-shortage-nps-and-pas-seemed-fix-data-s-no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MSSNY</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Holmes</dc:creator>
  <cp:lastModifiedBy>Morris Auster</cp:lastModifiedBy>
  <cp:revision>2</cp:revision>
  <cp:lastPrinted>2023-05-17T13:56:00Z</cp:lastPrinted>
  <dcterms:created xsi:type="dcterms:W3CDTF">2024-01-22T15:51:00Z</dcterms:created>
  <dcterms:modified xsi:type="dcterms:W3CDTF">2024-01-22T15:51:00Z</dcterms:modified>
</cp:coreProperties>
</file>